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25E97" w:rsidRDefault="00B25E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ЭНЕРГЕТИКИ РОССИЙСКОЙ ФЕДЕРАЦИИ</w:t>
      </w:r>
    </w:p>
    <w:p w:rsidR="00B25E97" w:rsidRDefault="00B25E97">
      <w:pPr>
        <w:pStyle w:val="ConsPlusTitle"/>
        <w:jc w:val="center"/>
        <w:rPr>
          <w:sz w:val="20"/>
          <w:szCs w:val="20"/>
        </w:rPr>
      </w:pPr>
    </w:p>
    <w:p w:rsidR="00B25E97" w:rsidRDefault="00B25E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ДЕПАРТАМЕНТ ЭНЕРГОЭФФЕКТИВНОСТИ И МОДЕРНИЗАЦИИ ТЭК</w:t>
      </w:r>
    </w:p>
    <w:p w:rsidR="00B25E97" w:rsidRDefault="00B25E97">
      <w:pPr>
        <w:pStyle w:val="ConsPlusTitle"/>
        <w:jc w:val="center"/>
        <w:rPr>
          <w:sz w:val="20"/>
          <w:szCs w:val="20"/>
        </w:rPr>
      </w:pPr>
    </w:p>
    <w:p w:rsidR="00B25E97" w:rsidRDefault="00B25E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B25E97" w:rsidRDefault="00B25E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июня 2012 г. N 02-976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и модернизации ТЭК Минэнерго России рассмотрел обращение по вопросу необходимости проведения обязательных энергетических обследований организаций и предприятий, подведомственных Минкультуры России, располагающихся в арендуемых зданиях (помещениях) или в зданиях, строениях, сооружениях, которые отнесены к объектам культурного наследия (памятникам истории и культуры), и сообщает.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лиц, для которых проведение энергетического обследования является обязательным, определен </w:t>
      </w:r>
      <w:hyperlink r:id="rId4" w:history="1">
        <w:r>
          <w:rPr>
            <w:rFonts w:ascii="Calibri" w:hAnsi="Calibri" w:cs="Calibri"/>
            <w:color w:val="0000FF"/>
          </w:rPr>
          <w:t>частью 1 статьи 16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об энергосбережении).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Исключений </w:t>
      </w:r>
      <w:proofErr w:type="gramStart"/>
      <w:r>
        <w:rPr>
          <w:rFonts w:ascii="Calibri" w:hAnsi="Calibri" w:cs="Calibri"/>
        </w:rPr>
        <w:t>для указанных лиц в виде освобождения от проведения обязательного энергетического обследования при их размещении на арендованных площадях</w:t>
      </w:r>
      <w:proofErr w:type="gramEnd"/>
      <w:r>
        <w:rPr>
          <w:rFonts w:ascii="Calibri" w:hAnsi="Calibri" w:cs="Calibri"/>
        </w:rPr>
        <w:t xml:space="preserve"> либо в зданиях, строениях, сооружениях, которые 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являются объектами культурного наследия (памятниками истории и культуры).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энергосбережении не предусматривается.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обязательное энергетическое обследование проводится в отношении юридического лица (организации) как потребителя энергетических ресурсов в целях, определенных </w:t>
      </w:r>
      <w:hyperlink r:id="rId7" w:history="1">
        <w:r>
          <w:rPr>
            <w:rFonts w:ascii="Calibri" w:hAnsi="Calibri" w:cs="Calibri"/>
            <w:color w:val="0000FF"/>
          </w:rPr>
          <w:t>частью 2 статьи 15</w:t>
        </w:r>
      </w:hyperlink>
      <w:r>
        <w:rPr>
          <w:rFonts w:ascii="Calibri" w:hAnsi="Calibri" w:cs="Calibri"/>
        </w:rPr>
        <w:t xml:space="preserve"> Закона об энергосбережении.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случае отсутствия в арендованных помещениях отдельных приборов учета показатели энергоресурсов, потребляемых юридическим лицом (организацией), могут быть рассчитаны по типовым нормам потребления, а типовые, общедоступные мероприятий по энергосбережению и повышению энергетической эффективности определяются с учетом норм договора аренды.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отношении обязательного энергетического обследования юридического лица (организации), размещенного на фондах объекта культурного наследия и (или) имеющего на своем балансе здания, отнесенные к категории таких объектов, следует учитывать, что </w:t>
      </w:r>
      <w:hyperlink r:id="rId8" w:history="1">
        <w:r>
          <w:rPr>
            <w:rFonts w:ascii="Calibri" w:hAnsi="Calibri" w:cs="Calibri"/>
            <w:color w:val="0000FF"/>
          </w:rPr>
          <w:t>частью 2 статьи 11</w:t>
        </w:r>
      </w:hyperlink>
      <w:r>
        <w:rPr>
          <w:rFonts w:ascii="Calibri" w:hAnsi="Calibri" w:cs="Calibri"/>
        </w:rPr>
        <w:t xml:space="preserve"> Закона об энергосбережении установлены требования энергетической эффективности зданий, строений, сооружений, которые должны включать в себя, в том числе:</w:t>
      </w:r>
      <w:proofErr w:type="gramEnd"/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строении, сооружении;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</w:t>
      </w:r>
      <w:proofErr w:type="gramEnd"/>
      <w:r>
        <w:rPr>
          <w:rFonts w:ascii="Calibri" w:hAnsi="Calibri" w:cs="Calibri"/>
        </w:rPr>
        <w:t xml:space="preserve"> в процессе их эксплуатации.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hyperlink r:id="rId9" w:history="1">
        <w:r>
          <w:rPr>
            <w:rFonts w:ascii="Calibri" w:hAnsi="Calibri" w:cs="Calibri"/>
            <w:color w:val="0000FF"/>
          </w:rPr>
          <w:t>часть 5 статьи 11</w:t>
        </w:r>
      </w:hyperlink>
      <w:r>
        <w:rPr>
          <w:rFonts w:ascii="Calibri" w:hAnsi="Calibri" w:cs="Calibri"/>
        </w:rPr>
        <w:t xml:space="preserve"> Закона об энергосбережении предусматривает определенные изъятия ряда объектов из сферы действия указанных требований. </w:t>
      </w:r>
      <w:proofErr w:type="gramStart"/>
      <w:r>
        <w:rPr>
          <w:rFonts w:ascii="Calibri" w:hAnsi="Calibri" w:cs="Calibri"/>
        </w:rPr>
        <w:t xml:space="preserve">К ним отнесены, в частности, здания, строения, сооружения, которые в соответствии с законодательством Российской Федерации являются объектами культурного наследия (памятниками истории и культуры), и отношения в области их сохранения, использования, популяризации и государственной охраны регулируются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июня 2002 г. N 73-ФЗ "Об объектах культурного наследия (памятниках истории и культуры) народов Российской Федерации".</w:t>
      </w:r>
      <w:proofErr w:type="gramEnd"/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Исходя из изложенного, проведение энергетического обследования юридического лица (организации), размещенного на фондах указанной категории зданий, строений, сооружений не влечет за собой необходимость применения в отношении последних установленных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энергосбережении требований энергетической эффективности.</w:t>
      </w:r>
      <w:proofErr w:type="gramEnd"/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А.И.КУЛАПИН</w:t>
      </w: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E97" w:rsidRDefault="00B25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E97" w:rsidRDefault="00B25E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D1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97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E0FE0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25E97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5E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487BCB3314F6DBC43A51EB4CCED870A86F8A86A65764469240C83B8780E936A18C0FBA4423339h7V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8487BCB3314F6DBC43A51EB4CCED870A86F8A86A65764469240C83B8780E936A18C0FBA4423331h7V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487BCB3314F6DBC43A51EB4CCED870A86F8A86A65764469240C83B8h7V8K" TargetMode="External"/><Relationship Id="rId11" Type="http://schemas.openxmlformats.org/officeDocument/2006/relationships/hyperlink" Target="consultantplus://offline/ref=AE8487BCB3314F6DBC43A51EB4CCED870A86F8A86A65764469240C83B8h7V8K" TargetMode="External"/><Relationship Id="rId5" Type="http://schemas.openxmlformats.org/officeDocument/2006/relationships/hyperlink" Target="consultantplus://offline/ref=AE8487BCB3314F6DBC43A51EB4CCED870A86F9AD6D64764469240C83B8780E936A18C0FBA442323Bh7V7K" TargetMode="External"/><Relationship Id="rId10" Type="http://schemas.openxmlformats.org/officeDocument/2006/relationships/hyperlink" Target="consultantplus://offline/ref=AE8487BCB3314F6DBC43A51EB4CCED870A86F9AD6D64764469240C83B8h7V8K" TargetMode="External"/><Relationship Id="rId4" Type="http://schemas.openxmlformats.org/officeDocument/2006/relationships/hyperlink" Target="consultantplus://offline/ref=AE8487BCB3314F6DBC43A51EB4CCED870A86F8A86A65764469240C83B8780E936A18C0FBA4423039h7V5K" TargetMode="External"/><Relationship Id="rId9" Type="http://schemas.openxmlformats.org/officeDocument/2006/relationships/hyperlink" Target="consultantplus://offline/ref=AE8487BCB3314F6DBC43A51EB4CCED870A86F8A86A65764469240C83B8780E936A18C0FBA4423338h7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2013-01-21T10:21:00Z</dcterms:created>
  <dcterms:modified xsi:type="dcterms:W3CDTF">2013-01-21T10:22:00Z</dcterms:modified>
</cp:coreProperties>
</file>